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7.png" ContentType="image/png"/>
  <Override PartName="/word/media/rId214.png" ContentType="image/png"/>
  <Override PartName="/word/media/rId215.png" ContentType="image/png"/>
  <Override PartName="/word/media/rId216.png" ContentType="image/png"/>
  <Override PartName="/word/media/rId219.png" ContentType="image/png"/>
  <Override PartName="/word/media/rId222.png" ContentType="image/png"/>
  <Override PartName="/word/media/rId221.png" ContentType="image/png"/>
  <Override PartName="/word/media/rId220.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2.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4.png" ContentType="image/png"/>
  <Override PartName="/word/media/rId101.png" ContentType="image/png"/>
  <Override PartName="/word/media/rId103.png" ContentType="image/png"/>
  <Override PartName="/word/media/rId178.png" ContentType="image/png"/>
  <Override PartName="/word/media/rId73.png" ContentType="image/png"/>
  <Override PartName="/word/media/rId166.png" ContentType="image/png"/>
  <Override PartName="/word/media/rId72.png" ContentType="image/png"/>
  <Override PartName="/word/media/rId36.png" ContentType="image/png"/>
  <Override PartName="/word/media/rId198.png" ContentType="image/png"/>
  <Override PartName="/word/media/rId109.png" ContentType="image/png"/>
  <Override PartName="/word/media/rId70.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6.png" ContentType="image/png"/>
  <Override PartName="/word/media/rId81.png" ContentType="image/png"/>
  <Override PartName="/word/media/rId67.png" ContentType="image/png"/>
  <Override PartName="/word/media/rId68.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w:t>
      </w:r>
      <w:r>
        <w:t xml:space="preserve"> </w:t>
      </w:r>
      <w:r>
        <w:rPr>
          <w:i/>
        </w:rPr>
        <w:t xml:space="preserve">Hexbin explorer</w:t>
      </w:r>
      <w:r>
        <w:t xml:space="preserve"> </w:t>
      </w:r>
      <w:r>
        <w:t xml:space="preserve">that maps selected aspects of urban quality of life and</w:t>
      </w:r>
      <w:r>
        <w:t xml:space="preserve"> </w:t>
      </w:r>
      <w:r>
        <w:rPr>
          <w:i/>
        </w:rPr>
        <w:t xml:space="preserve">Lockdown traffic</w:t>
      </w:r>
      <w:r>
        <w:t xml:space="preserve"> </w:t>
      </w:r>
      <w:r>
        <w:t xml:space="preserve">that displays detailed traffic speed records, both for the city of Brno.</w:t>
      </w:r>
    </w:p>
    <w:p>
      <w:pPr>
        <w:pStyle w:val="TextBody"/>
      </w:pPr>
      <w:r>
        <w:rPr>
          <w:b/>
        </w:rPr>
        <w:t xml:space="preserve">Abstrakt</w:t>
      </w:r>
    </w:p>
    <w:p>
      <w:pPr>
        <w:pStyle w:val="TextBody"/>
      </w:pPr>
      <w:r>
        <w:t xml:space="preserve">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generated and stored data, together with related societal implications that are only starting to unfold. Another, more personal motivation was to channel the author’s long time interest in cartographic visualization and to summarize his practical experience with design and development of map-based web applications.</w:t>
      </w:r>
    </w:p>
    <w:p>
      <w:pPr>
        <w:pStyle w:val="TextBody"/>
      </w:pPr>
      <w:r>
        <w:t xml:space="preserve">We argue that there are three main shifts that started to alter how digital maps are produced, disseminated and interacted with. We believe that these tendencies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 work towards greater spatial enablement of general society.</w:t>
      </w:r>
    </w:p>
    <w:p>
      <w:pPr>
        <w:pStyle w:val="TextBody"/>
      </w:pPr>
      <w:r>
        <w:t xml:space="preserve">The mentioned shifts are threefold:</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pPr>
      <w:r>
        <w:t xml:space="preserve">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look more closely on the method of hexagonal aggregation and its advantages in addressing the spatial density of big data sets. Selected issues of user interactions with digital maps are also discussed.</w:t>
      </w:r>
    </w:p>
    <w:p>
      <w:pPr>
        <w:pStyle w:val="TextBody"/>
      </w:pPr>
      <w:r>
        <w:rPr>
          <w:i/>
        </w:rPr>
        <w:t xml:space="preserve">Changes in how maps are distributed over the network</w:t>
      </w:r>
      <w:r>
        <w:t xml:space="preserve"> </w:t>
      </w:r>
      <w:r>
        <w:t xml:space="preserve">refer to the growing adoption of the vector tile format. In Chapter 3 we discuss the characteristics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are closely connected to the capabilities of WebGL rendering environments. In Chapter 3 we thoroughly discuss how the combination of WebGL and vector tiles enables cartographic visualization as well as new modes of interaction for users.</w:t>
      </w:r>
    </w:p>
    <w:p>
      <w:pPr>
        <w:pStyle w:val="TextBody"/>
      </w:pPr>
      <w:r>
        <w:t xml:space="preserve">The advantages and limitations of transforming spatial big data into vector tiles for visualization in WebGL based environments are exemplified in two case studies in Chapters 4 and 5.</w:t>
      </w:r>
    </w:p>
    <w:p>
      <w:pPr>
        <w:pStyle w:val="TextBody"/>
      </w:pPr>
      <w:r>
        <w:t xml:space="preserve">Chapter 4 describes the design and development of an urban recommendation system for the city of Brno. This prototype application shows the potential of dynamic visualization based on hexagonal grid. Two modes of cartographic visualization are showcased and evaluated.</w:t>
      </w:r>
    </w:p>
    <w:p>
      <w:pPr>
        <w:pStyle w:val="TextBody"/>
      </w:pPr>
      <w:r>
        <w:t xml:space="preserve">Chapter 5 describes an application for viewing traffic patterns in the city of Brno during the eight weeks of the 2020 spring lockdown. Here we test how vector tiles accommodate the temporal density of a dataset originally published as a live stream. Also, we describe a variety of technologies used to process the volumnious input datataset.</w:t>
      </w:r>
    </w:p>
    <w:p>
      <w:pPr>
        <w:pStyle w:val="TextBody"/>
      </w:pPr>
      <w:r>
        <w:t xml:space="preserve">The concluding chapter of the thesis synthesizes the results, lists the next research avenues and presents an outlook of the future developments in spatial data processing and visualization.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 </w:t>
      </w:r>
      <w:r>
        <w:t xml:space="preserve">— can be measured in storage requirements (terabytes or petabytes) or in number of records</w:t>
      </w:r>
    </w:p>
    <w:p>
      <w:pPr>
        <w:numPr>
          <w:ilvl w:val="0"/>
          <w:numId w:val="1002"/>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2"/>
        </w:numPr>
        <w:pStyle w:val="Compact"/>
      </w:pPr>
      <w:r>
        <w:rPr>
          <w:b/>
        </w:rPr>
        <w:t xml:space="preserve">Relationality</w:t>
      </w:r>
      <w:r>
        <w:t xml:space="preserve"> </w:t>
      </w:r>
      <w:r>
        <w:t xml:space="preserve">— data contain common fields that enable the conjoining of different datasets</w:t>
      </w:r>
    </w:p>
    <w:p>
      <w:pPr>
        <w:numPr>
          <w:ilvl w:val="0"/>
          <w:numId w:val="1002"/>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visualization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Reference"/>
        </w:rPr>
        <w:footnoteReference w:id="31"/>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 </w:t>
      </w:r>
      <w:r>
        <w:t xml:space="preserve">— this information is the record of human experiences</w:t>
      </w:r>
    </w:p>
    <w:p>
      <w:pPr>
        <w:numPr>
          <w:ilvl w:val="0"/>
          <w:numId w:val="1003"/>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8" w:name="metaphors"/>
      <w:r>
        <w:t xml:space="preserve">1.2.4 Metaphors</w:t>
      </w:r>
      <w:bookmarkEnd w:id="38"/>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9" w:name="holistic-accounts"/>
      <w:r>
        <w:t xml:space="preserve">1.2.5 Holistic accounts</w:t>
      </w:r>
      <w:bookmarkEnd w:id="39"/>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 </w:t>
      </w:r>
      <w:r>
        <w:t xml:space="preserve">— with various levels of temporal latency and structure</w:t>
      </w:r>
    </w:p>
    <w:p>
      <w:pPr>
        <w:numPr>
          <w:ilvl w:val="0"/>
          <w:numId w:val="1004"/>
        </w:numPr>
        <w:pStyle w:val="Compact"/>
      </w:pPr>
      <w:r>
        <w:rPr>
          <w:i/>
        </w:rPr>
        <w:t xml:space="preserve">compute infrastructure</w:t>
      </w:r>
      <w:r>
        <w:t xml:space="preserve"> </w:t>
      </w:r>
      <w:r>
        <w:t xml:space="preserve">— batch or stream processing</w:t>
      </w:r>
    </w:p>
    <w:p>
      <w:pPr>
        <w:numPr>
          <w:ilvl w:val="0"/>
          <w:numId w:val="1004"/>
        </w:numPr>
        <w:pStyle w:val="Compact"/>
      </w:pPr>
      <w:r>
        <w:rPr>
          <w:i/>
        </w:rPr>
        <w:t xml:space="preserve">storage infrastructure</w:t>
      </w:r>
      <w:r>
        <w:t xml:space="preserve"> </w:t>
      </w:r>
      <w:r>
        <w:t xml:space="preserve">— distributed, sql or nosql databases</w:t>
      </w:r>
    </w:p>
    <w:p>
      <w:pPr>
        <w:numPr>
          <w:ilvl w:val="0"/>
          <w:numId w:val="1004"/>
        </w:numPr>
        <w:pStyle w:val="Compact"/>
      </w:pPr>
      <w:r>
        <w:rPr>
          <w:i/>
        </w:rPr>
        <w:t xml:space="preserve">analysis</w:t>
      </w:r>
      <w:r>
        <w:t xml:space="preserve"> </w:t>
      </w:r>
      <w:r>
        <w:t xml:space="preserve">— supervised, semisupervised, unsupervised or reenforcement machine learning</w:t>
      </w:r>
    </w:p>
    <w:p>
      <w:pPr>
        <w:numPr>
          <w:ilvl w:val="0"/>
          <w:numId w:val="1004"/>
        </w:numPr>
        <w:pStyle w:val="Compact"/>
      </w:pPr>
      <w:r>
        <w:rPr>
          <w:i/>
        </w:rPr>
        <w:t xml:space="preserve">visualization</w:t>
      </w:r>
      <w:r>
        <w:t xml:space="preserve"> </w:t>
      </w:r>
      <w:r>
        <w:t xml:space="preserve">— maps, abstract, interactive, real-time</w:t>
      </w:r>
    </w:p>
    <w:p>
      <w:pPr>
        <w:numPr>
          <w:ilvl w:val="0"/>
          <w:numId w:val="1004"/>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5"/>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5"/>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0" w:name="spatial-big-data"/>
      <w:r>
        <w:t xml:space="preserve">1.3 Spatial big data</w:t>
      </w:r>
      <w:bookmarkEnd w:id="40"/>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1"/>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2"/>
      </w:r>
      <w:r>
        <w:t xml:space="preserve">. 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4"/>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5"/>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6"/>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7"/>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8"/>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numPr>
          <w:ilvl w:val="0"/>
          <w:numId w:val="1008"/>
        </w:numPr>
        <w:pStyle w:val="Compact"/>
      </w:pPr>
      <w:r>
        <w:rPr>
          <w:i/>
        </w:rPr>
        <w:t xml:space="preserve">Scalability &amp; Resolution</w:t>
      </w:r>
      <w:r>
        <w:t xml:space="preserve"> </w:t>
      </w:r>
      <w:r>
        <w:t xml:space="preserve">—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9" w:name="Xf3ae6ae3b0dd5cefca806e84cab2e367dc26683"/>
      <w:r>
        <w:t xml:space="preserve">1.4 Assessing impacts, threats and opportunities</w:t>
      </w:r>
      <w:bookmarkEnd w:id="49"/>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0"/>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1"/>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2"/>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3"/>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5"/>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6" w:name="making-sense-of-spatial-big-data"/>
      <w:r>
        <w:t xml:space="preserve">2 Making sense of spatial big data</w:t>
      </w:r>
      <w:bookmarkEnd w:id="56"/>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7" w:name="Xa6cf560d7f565cc1ad6c006c6f79779aca24302"/>
      <w:r>
        <w:t xml:space="preserve">2.1 Spatial big data classification: stations, events, and agents</w:t>
      </w:r>
      <w:bookmarkEnd w:id="57"/>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visualization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8"/>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9"/>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2"/>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3" w:name="X5e68b1ecce874667990b9ffa74afb8d047a6fa2"/>
      <w:r>
        <w:t xml:space="preserve">2.2 Spatio-temporal knowledge discovery and visual analytics</w:t>
      </w:r>
      <w:bookmarkEnd w:id="63"/>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33938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4"/>
                    <a:stretch>
                      <a:fillRect/>
                    </a:stretch>
                  </pic:blipFill>
                  <pic:spPr bwMode="auto">
                    <a:xfrm>
                      <a:off x="0" y="0"/>
                      <a:ext cx="3987800" cy="33938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visualization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5" w:name="spatio-temporal-relations"/>
      <w:r>
        <w:t xml:space="preserve">2.2.1 Spatio-temporal relations</w:t>
      </w:r>
      <w:bookmarkEnd w:id="65"/>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6"/>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visualization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9"/>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0"/>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1" w:name="from-data-mining-to-visual-analytics"/>
      <w:r>
        <w:t xml:space="preserve">2.2.2 From data mining to visual analytics</w:t>
      </w:r>
      <w:bookmarkEnd w:id="71"/>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2"/>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251759"/>
            <wp:effectExtent b="0" l="0" r="0" t="0"/>
            <wp:docPr descr="Fig. 10 The sense-making loop for visual analytics, adopted from Van Wijk (2005). User can interactively manipulate the visualiz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3"/>
                    <a:stretch>
                      <a:fillRect/>
                    </a:stretch>
                  </pic:blipFill>
                  <pic:spPr bwMode="auto">
                    <a:xfrm>
                      <a:off x="0" y="0"/>
                      <a:ext cx="3987800" cy="2251759"/>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visualization to gain understanding of both the data and the representation itself.</w:t>
      </w:r>
    </w:p>
    <w:p>
      <w:pPr>
        <w:pStyle w:val="TextBody"/>
      </w:pPr>
      <w:r>
        <w:t xml:space="preserve">Visual analytics extends the concept of visualization: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4" w:name="the-role-of-cartography"/>
      <w:r>
        <w:t xml:space="preserve">2.3 The role of cartography</w:t>
      </w:r>
      <w:bookmarkEnd w:id="74"/>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5"/>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6" w:name="Xf241b15d1dfcd3f01d97dc5505b901bb0a1566d"/>
      <w:r>
        <w:t xml:space="preserve">2.3.1 Maps for answering questions, maps for asking them</w:t>
      </w:r>
      <w:bookmarkEnd w:id="76"/>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visualization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visualization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visualization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visualization.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7" w:name="what-next-research-challenges"/>
      <w:r>
        <w:t xml:space="preserve">2.3.2 What next? Research challenges</w:t>
      </w:r>
      <w:bookmarkEnd w:id="77"/>
    </w:p>
    <w:p>
      <w:pPr>
        <w:pStyle w:val="FirstParagraph"/>
      </w:pPr>
      <w:r>
        <w:t xml:space="preserve">Researchers in cartography and geovisualization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8"/>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visualization methods that already exist. This is all good, but we should not assume that the cartography’s quest to</w:t>
      </w:r>
      <w:r>
        <w:t xml:space="preserve"> </w:t>
      </w:r>
      <w:r>
        <w:rPr>
          <w:i/>
        </w:rPr>
        <w:t xml:space="preserve">extend</w:t>
      </w:r>
      <w:r>
        <w:t xml:space="preserve"> </w:t>
      </w:r>
      <w:r>
        <w:t xml:space="preserve">the arsenal of visualization and interaction methods is completed. User interaction and increasing data load pose new challenges to cartographic visualization,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visualization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CaptionedFigure"/>
      </w:pPr>
      <w:r>
        <w:drawing>
          <wp:inline>
            <wp:extent cx="3987800" cy="1300044"/>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00044"/>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visualization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visualization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visualization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r>
        <w:t xml:space="preserv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visualizations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pPr>
      <w:r>
        <w:t xml:space="preserve">When it comes to reasoning about complex systems, visualizations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visualizations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visualization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b7cdb4d2f54035a0fcbb1fabd15d30c8f316651"/>
      <w:r>
        <w:t xml:space="preserve">3.1 Visualisation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visualization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visualization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visualization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visualization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visualization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z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visualization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visualization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64"/>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64"/>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z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visualization methods</w:t>
      </w:r>
    </w:p>
    <w:p>
      <w:pPr>
        <w:pStyle w:val="TextBody"/>
      </w:pPr>
      <w:r>
        <w:t xml:space="preserve">Then there are approaches that try to combine density and attribute visualization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visualization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The animation performance for large number of objects is definitely a virtue compared to SVG — 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Client libraries natively allow for SVG and Canvas overlays for custom data, the mapmaker’s task is to select an appropriate base map from the wide selection of providers</w:t>
      </w:r>
      <w:r>
        <w:rPr>
          <w:rStyle w:val="FootnoteReference"/>
        </w:rPr>
        <w:footnoteReference w:id="135"/>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r>
        <w:t xml:space="preserve">.</w:t>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hexbin-explorer"/>
      <w:r>
        <w:t xml:space="preserve">4 Case Study: Hexbin explorer</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 map-based web application that could help dwelling seekers to identify areas in the city that best match their needs and expectations</w:t>
      </w:r>
      <w:r>
        <w:rPr>
          <w:rStyle w:val="FootnoteReference"/>
        </w:rPr>
        <w:footnoteReference w:id="152"/>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r>
        <w:t xml:space="preserve">.</w:t>
      </w:r>
    </w:p>
    <w:p>
      <w:pPr>
        <w:pStyle w:val="TextBody"/>
      </w:pPr>
      <w:r>
        <w:t xml:space="preserve">When developing digital maps, the ability to define modules that react to changes in shared state has many benefits</w:t>
      </w:r>
      <w:r>
        <w:rPr>
          <w:rStyle w:val="FootnoteReference"/>
        </w:rPr>
        <w:footnoteReference w:id="161"/>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datasets, we designed two visualization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987800" cy="779845"/>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987800" cy="779845"/>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lockdown-traffic"/>
      <w:r>
        <w:t xml:space="preserve">5 Case study: Lockdown traffic</w:t>
      </w:r>
      <w:bookmarkEnd w:id="171"/>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2"/>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Reference"/>
        </w:rPr>
        <w:footnoteReference w:id="173"/>
      </w:r>
      <w:r>
        <w:t xml:space="preserve">.</w:t>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 </w:t>
      </w:r>
      <w:r>
        <w:t xml:space="preserve">—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pPr>
      <w: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r>
        <w:t xml:space="preserve">.</w:t>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3" w:name="discussion-and-conclusions"/>
      <w:r>
        <w:t xml:space="preserve">6 Discussion and conclusions</w:t>
      </w:r>
      <w:bookmarkEnd w:id="203"/>
    </w:p>
    <w:p>
      <w:pPr>
        <w:pStyle w:val="FirstParagraph"/>
      </w:pPr>
      <w:r>
        <w:t xml:space="preserve">This section provides a general discussion of results that complements the evaluation of case studies from sections 4.5 and 5.5. A general conclusion is also presented.</w:t>
      </w:r>
    </w:p>
    <w:p>
      <w:pPr>
        <w:pStyle w:val="TextBody"/>
      </w:pPr>
      <w:r>
        <w:t xml:space="preserve">The thesis states that the combination of vector tiles and a WebGL based rendering environment is an adequate solution for cartographic visualization of big data. The two provided applications aim to support this statement. But it can be argued that the</w:t>
      </w:r>
      <w:r>
        <w:t xml:space="preserve"> </w:t>
      </w:r>
      <w:r>
        <w:t xml:space="preserve">“</w:t>
      </w:r>
      <w:r>
        <w:t xml:space="preserve">real time</w:t>
      </w:r>
      <w:r>
        <w:t xml:space="preserve">”</w:t>
      </w:r>
      <w:r>
        <w:t xml:space="preserve"> </w:t>
      </w:r>
      <w:r>
        <w:t xml:space="preserve">property of big data is not expressed too well in these case studies. This is partly due to the limited availability of continuous sources for our problem area, and partly the scope of the thesis being more on the cartographic solutions rather than on building complex back-end infrastructures for real-time applications.</w:t>
      </w:r>
    </w:p>
    <w:p>
      <w:pPr>
        <w:pStyle w:val="TextBody"/>
      </w:pPr>
      <w:r>
        <w:t xml:space="preserve">That being said, we can add that for big data sources that change in real time, vector tiles may seem as a bit inflexible solution. Once a tile set is generated, there are limited options to extend or alter the spatial definition of features. Client libraries can filter features, apply styles, and also perform client side data joins with external tabular data sources. But to accommodate fast-paced changes in the spatial definition of data, the data processing pipeline has to regenerate the tile set anew.</w:t>
      </w:r>
    </w:p>
    <w:p>
      <w:pPr>
        <w:pStyle w:val="TextBody"/>
      </w:pPr>
      <w:r>
        <w:t xml:space="preserve">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pPr>
      <w:r>
        <w:t xml:space="preserve">The original intent of vector tiles was presentational — to show intricate base maps efficiently across zoom levels. Analytical usage of the format may be complicated by some of its characteristics, for example there is the need to reconstruct features spread across several tiles. But there is a great potential for vector tile schemas defined with spatial analysis in mind — this would enable client libraries to perform GIS-like operations across various types of devices.</w:t>
      </w:r>
    </w:p>
    <w:p>
      <w:pPr>
        <w:pStyle w:val="TextBody"/>
      </w:pPr>
      <w:r>
        <w:t xml:space="preserve">As we have seen with both case studies, tile data size limitations have a profound impact on the final digital map, be it in the achievable zoom ranges or in smoothness of user experience. Currently the limitations can be overcome by slicing the tile layers in various ways, or by applying some simplification functions on geometries, though there are no standard solutions for compression within the tile attribute spaces and decoding on client. As we have suggested in Chapter 5, finding options for attribute compression in specific cases like time series encoding is another promising research area for vector tiles.</w:t>
      </w:r>
    </w:p>
    <w:p>
      <w:pPr>
        <w:pStyle w:val="TextBody"/>
      </w:pPr>
      <w:r>
        <w:t xml:space="preserve">With the ability to store attributes of layers, vector tiles could redefine how we use base map layers. For example, a road network layer can synthesize thematic information to be used for various purposes on client. This could include traffic speeds, taxi activity or sidewalk quality for navigation purposes (project</w:t>
      </w:r>
      <w:r>
        <w:t xml:space="preserve"> </w:t>
      </w:r>
      <w:r>
        <w:rPr>
          <w:i/>
        </w:rPr>
        <w:t xml:space="preserve">SharedStreets</w:t>
      </w:r>
      <w:r>
        <w:rPr>
          <w:rStyle w:val="FootnoteReference"/>
        </w:rPr>
        <w:footnoteReference w:id="204"/>
      </w:r>
      <w:r>
        <w:t xml:space="preserve">), or all kinds of population and environmental data for urban planning purposes (ventures like</w:t>
      </w:r>
      <w:r>
        <w:t xml:space="preserve"> </w:t>
      </w:r>
      <w:r>
        <w:rPr>
          <w:i/>
        </w:rPr>
        <w:t xml:space="preserve">Remix</w:t>
      </w:r>
      <w:r>
        <w:rPr>
          <w:rStyle w:val="FootnoteReference"/>
        </w:rPr>
        <w:footnoteReference w:id="206"/>
      </w:r>
      <w:r>
        <w:t xml:space="preserve">, or</w:t>
      </w:r>
      <w:r>
        <w:t xml:space="preserve"> </w:t>
      </w:r>
      <w:r>
        <w:rPr>
          <w:i/>
        </w:rPr>
        <w:t xml:space="preserve">Morphcode</w:t>
      </w:r>
      <w:r>
        <w:rPr>
          <w:rStyle w:val="FootnoteReference"/>
        </w:rPr>
        <w:footnoteReference w:id="208"/>
      </w:r>
      <w:r>
        <w:t xml:space="preserve">). As we have indicated in Chapter 4, keeping such layers up to date while allowing historical comparison is a true big data infrastructure problem. Having both spatial and attribute information in one form that is efficiently downloadable for given area makes vector tiles an ideal input for spatially-enabled machine learning algorithms.</w:t>
      </w:r>
    </w:p>
    <w:p>
      <w:pPr>
        <w:pStyle w:val="TextBody"/>
      </w:pPr>
      <w:r>
        <w:t xml:space="preserve">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pPr>
      <w:r>
        <w:t xml:space="preserve">At this point, we can revisit the questions presented in section 2.3.2. Learning about the capabilities of WebGL can help to shed some light on the first two questions (</w:t>
      </w:r>
      <w:r>
        <w:rPr>
          <w:i/>
        </w:rPr>
        <w:t xml:space="preserve">Is cartography fully exploiting the digital medium?</w:t>
      </w:r>
      <w:r>
        <w:t xml:space="preserve"> </w:t>
      </w:r>
      <w:r>
        <w:t xml:space="preserve">and</w:t>
      </w:r>
      <w:r>
        <w:t xml:space="preserve"> </w:t>
      </w:r>
      <w:r>
        <w:rPr>
          <w:i/>
        </w:rPr>
        <w:t xml:space="preserve">What inspiration can digital cartography take from the heritage of pre-digital mapping?</w:t>
      </w:r>
      <w:r>
        <w:t xml:space="preserve">). The presented case studies show to some degree what WebGl based rendering environment offers for thematic cartography. Note that these applications use just the subset of WebGL features made available by the mapbox-gl. Stepping down at the level of individual shaders would allow for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 — though it might be an exciting path for some to get on. When it comes to the question of deriving inspiration from non-digital maps, we argue that WebGL based client libraries offer greater freedom to experiment with non-obvious symbolization (e.g. Figure 29 or Figure 33) than the previous generation of mapping libraries (SVG over raster tiles).</w:t>
      </w:r>
    </w:p>
    <w:p>
      <w:pPr>
        <w:pStyle w:val="TextBody"/>
      </w:pPr>
      <w:r>
        <w:t xml:space="preserve">Arriving at the third question from section 2.3.2 (</w:t>
      </w:r>
      <w:r>
        <w:rPr>
          <w:i/>
        </w:rPr>
        <w:t xml:space="preserve">Should cartography focus more on interaction design?</w:t>
      </w:r>
      <w:r>
        <w:t xml:space="preserve">), we anticipate that designing interactions with digital maps will become a common part of cartographic practice. Reading a map and controlling it via an UI will be increasingly understood as two sides of the same coin. For many digital maps, the richness of possible interactions and the range of possible outcomes are beyond the typical UX design schemes (user personas, scenarios, etc.). As we have described in section 4.2, the features of the React library make it well applicable to creating map interfaces. Moreover, there is a room for developing a set of reusable map-specific components that can not be found in mainstream component libraries (like Bootstrap, or Material Design). In general, creating digital maps is in many aspects different form bread-and-butter web development, with specific requirements in areas like data mocking or automated UI testing.</w:t>
      </w:r>
    </w:p>
    <w:p>
      <w:pPr>
        <w:pStyle w:val="TextBody"/>
      </w:pPr>
      <w:r>
        <w:t xml:space="preserve">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Heading1"/>
      </w:pPr>
      <w:bookmarkStart w:id="210" w:name="X172885d50678a8ae4c4746c65bb50652f2e9dce"/>
      <w:r>
        <w:t xml:space="preserve">Appendix A: Big data related research challenges and opportunities for cartography</w:t>
      </w:r>
      <w:bookmarkEnd w:id="210"/>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11" w:name="Xb1494f5321cdc449f269f6fa07a5305647a59aa"/>
      <w:r>
        <w:t xml:space="preserve">Research Challenges for Cartography and Geospatial Big Data</w:t>
      </w:r>
      <w:bookmarkEnd w:id="211"/>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2" w:name="X2140a27c2eb920cbce32f6a4ca9f72be44aed33"/>
      <w:r>
        <w:t xml:space="preserve">Research Opportunities for Cartography and Geospatial Big Data</w:t>
      </w:r>
      <w:bookmarkEnd w:id="212"/>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3" w:name="appendix-b-hexbin-explorer"/>
      <w:r>
        <w:t xml:space="preserve">Appendix B: Hexbin explorer</w:t>
      </w:r>
      <w:bookmarkEnd w:id="213"/>
    </w:p>
    <w:p>
      <w:pPr>
        <w:pStyle w:val="FirstParagraph"/>
      </w:pPr>
      <w:r>
        <w:t xml:space="preserve">This appendix provides a brief overview of the interface of the map based web application created for the first case study. Not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4"/>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5"/>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8" w:name="appendix-c-lockdown-traffic"/>
      <w:r>
        <w:t xml:space="preserve">Appendix C: Lockdown traffic</w:t>
      </w:r>
      <w:bookmarkEnd w:id="218"/>
    </w:p>
    <w:p>
      <w:pPr>
        <w:pStyle w:val="FirstParagraph"/>
      </w:pPr>
      <w:r>
        <w:t xml:space="preserve">This appendix provides a brief overview of the interface of the map based web application created for the second case study. Not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CaptionedFigure"/>
      </w:pPr>
      <w:r>
        <w:drawing>
          <wp:inline>
            <wp:extent cx="3987800" cy="2215444"/>
            <wp:effectExtent b="0" l="0" r="0" t="0"/>
            <wp:docPr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view-normal.png" id="0" name="Picture"/>
                    <pic:cNvPicPr>
                      <a:picLocks noChangeArrowheads="1" noChangeAspect="1"/>
                    </pic:cNvPicPr>
                  </pic:nvPicPr>
                  <pic:blipFill>
                    <a:blip r:embed="rId220"/>
                    <a:stretch>
                      <a:fillRect/>
                    </a:stretch>
                  </pic:blipFill>
                  <pic:spPr bwMode="auto">
                    <a:xfrm>
                      <a:off x="0" y="0"/>
                      <a:ext cx="3987800" cy="2215444"/>
                    </a:xfrm>
                    <a:prstGeom prst="rect">
                      <a:avLst/>
                    </a:prstGeom>
                    <a:noFill/>
                    <a:ln w="9525">
                      <a:noFill/>
                      <a:headEnd/>
                      <a:tailEnd/>
                    </a:ln>
                  </pic:spPr>
                </pic:pic>
              </a:graphicData>
            </a:graphic>
          </wp:inline>
        </w:drawing>
      </w:r>
    </w:p>
    <w:p>
      <w:pPr>
        <w:pStyle w:val="ImageCaption"/>
      </w:pPr>
      <w:r>
        <w:rPr>
          <w:b/>
        </w:rPr>
        <w:t xml:space="preserve">Fig. Ac-2.</w:t>
      </w:r>
      <w:r>
        <w:t xml:space="preserve"> </w:t>
      </w:r>
      <w:r>
        <w:t xml:space="preserve">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w:t>
      </w:r>
    </w:p>
    <w:p>
      <w:pPr>
        <w:pStyle w:val="CaptionedFigure"/>
      </w:pPr>
      <w:r>
        <w:drawing>
          <wp:inline>
            <wp:extent cx="3987800" cy="1230879"/>
            <wp:effectExtent b="0" l="0" r="0" t="0"/>
            <wp:docPr descr="Fig. Ac-3. 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view-compare.png" id="0" name="Picture"/>
                    <pic:cNvPicPr>
                      <a:picLocks noChangeArrowheads="1" noChangeAspect="1"/>
                    </pic:cNvPicPr>
                  </pic:nvPicPr>
                  <pic:blipFill>
                    <a:blip r:embed="rId221"/>
                    <a:stretch>
                      <a:fillRect/>
                    </a:stretch>
                  </pic:blipFill>
                  <pic:spPr bwMode="auto">
                    <a:xfrm>
                      <a:off x="0" y="0"/>
                      <a:ext cx="3987800" cy="1230879"/>
                    </a:xfrm>
                    <a:prstGeom prst="rect">
                      <a:avLst/>
                    </a:prstGeom>
                    <a:noFill/>
                    <a:ln w="9525">
                      <a:noFill/>
                      <a:headEnd/>
                      <a:tailEnd/>
                    </a:ln>
                  </pic:spPr>
                </pic:pic>
              </a:graphicData>
            </a:graphic>
          </wp:inline>
        </w:drawing>
      </w:r>
    </w:p>
    <w:p>
      <w:pPr>
        <w:pStyle w:val="ImageCaption"/>
      </w:pPr>
      <w:r>
        <w:rPr>
          <w:b/>
        </w:rPr>
        <w:t xml:space="preserve">Fig. Ac-3.</w:t>
      </w:r>
      <w:r>
        <w:t xml:space="preserve"> </w:t>
      </w:r>
      <w:r>
        <w:t xml:space="preserve">In the comparison mode, user can select weeks to be compared on the control pannel after clicking the</w:t>
      </w:r>
      <w:r>
        <w:t xml:space="preserve"> </w:t>
      </w:r>
      <w:r>
        <w:t xml:space="preserve">“</w:t>
      </w:r>
      <w:r>
        <w:t xml:space="preserve">comparison</w:t>
      </w:r>
      <w:r>
        <w:t xml:space="preserve">”</w:t>
      </w:r>
      <w:r>
        <w:t xml:space="preserve"> </w:t>
      </w:r>
      <w:r>
        <w:t xml:space="preserve">checkbox. The selected weeks are then displayed on the overview table, which can still be used to select the day, as well as the slider.</w:t>
      </w:r>
    </w:p>
    <w:p>
      <w:pPr>
        <w:pStyle w:val="CaptionedFigure"/>
      </w:pPr>
      <w:r>
        <w:drawing>
          <wp:inline>
            <wp:extent cx="3987800" cy="7591032"/>
            <wp:effectExtent b="0" l="0" r="0" t="0"/>
            <wp:docPr descr="Fig. Ac-4. Example showing the map view in th comparinson mode, fill-extrusion is used with tilt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2"/>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 comparinson mode, fill-extrusion is used with tilted camera view to allow layer comparison. Application is shown in the small screen layout, with the side panel broken down below the map view (outside of the image).</w:t>
      </w:r>
    </w:p>
    <w:p>
      <w:pPr>
        <w:pStyle w:val="Heading1"/>
      </w:pPr>
      <w:bookmarkStart w:id="223" w:name="sources"/>
      <w:r>
        <w:t xml:space="preserve">Sources</w:t>
      </w:r>
      <w:bookmarkEnd w:id="223"/>
    </w:p>
    <w:bookmarkStart w:id="438" w:name="refs"/>
    <w:bookmarkStart w:id="225" w:name="ref-ademovic20163d"/>
    <w:p>
      <w:pPr>
        <w:pStyle w:val="Bibliography"/>
      </w:pPr>
      <w:r>
        <w:t xml:space="preserve">Ademovic, A. (2016). 3D graphics: A webgl tutorial.</w:t>
      </w:r>
      <w:r>
        <w:t xml:space="preserve"> </w:t>
      </w:r>
      <w:hyperlink r:id="rId224">
        <w:r>
          <w:rPr>
            <w:rStyle w:val="InternetLink"/>
          </w:rPr>
          <w:t xml:space="preserve">https://www.toptal.com/javascript/3d-graphics-a-webgl-tutorial</w:t>
        </w:r>
      </w:hyperlink>
      <w:r>
        <w:t xml:space="preserve">.</w:t>
      </w:r>
    </w:p>
    <w:bookmarkEnd w:id="225"/>
    <w:bookmarkStart w:id="227" w:name="ref-agafonkin2016clustering"/>
    <w:p>
      <w:pPr>
        <w:pStyle w:val="Bibliography"/>
      </w:pPr>
      <w:r>
        <w:t xml:space="preserve">Agafonkin, V. (2016). Clustering millions of points on a map with supercluster.</w:t>
      </w:r>
      <w:r>
        <w:t xml:space="preserve"> </w:t>
      </w:r>
      <w:hyperlink r:id="rId226">
        <w:r>
          <w:rPr>
            <w:rStyle w:val="InternetLink"/>
          </w:rPr>
          <w:t xml:space="preserve">https://blog.mapbox.com/clustering-millions-of-points-on-a-map-with-supercluster-272046ec5c97</w:t>
        </w:r>
      </w:hyperlink>
      <w:r>
        <w:t xml:space="preserve">.</w:t>
      </w:r>
    </w:p>
    <w:bookmarkEnd w:id="227"/>
    <w:bookmarkStart w:id="229" w:name="ref-agafonkin2017how"/>
    <w:p>
      <w:pPr>
        <w:pStyle w:val="Bibliography"/>
      </w:pPr>
      <w:r>
        <w:t xml:space="preserve">Agafonkin, V. (2017). How i built a wind map with webgl.</w:t>
      </w:r>
      <w:r>
        <w:t xml:space="preserve"> </w:t>
      </w:r>
      <w:hyperlink r:id="rId228">
        <w:r>
          <w:rPr>
            <w:rStyle w:val="InternetLink"/>
          </w:rPr>
          <w:t xml:space="preserve">https://blog.mapbox.com/how-i-built-a-wind-map-with-webgl-b63022b5537f</w:t>
        </w:r>
      </w:hyperlink>
      <w:r>
        <w:t xml:space="preserve">.</w:t>
      </w:r>
    </w:p>
    <w:bookmarkEnd w:id="229"/>
    <w:bookmarkStart w:id="230"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0"/>
    <w:bookmarkStart w:id="231"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1"/>
    <w:bookmarkStart w:id="232"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2"/>
    <w:bookmarkStart w:id="233"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3"/>
    <w:bookmarkStart w:id="234"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4"/>
    <w:bookmarkStart w:id="235"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5"/>
    <w:bookmarkStart w:id="236"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6"/>
    <w:bookmarkStart w:id="237"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7"/>
    <w:bookmarkStart w:id="238"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8"/>
    <w:bookmarkStart w:id="239"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9"/>
    <w:bookmarkStart w:id="240"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40"/>
    <w:bookmarkStart w:id="241"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41"/>
    <w:bookmarkStart w:id="242" w:name="ref-bertin1983semiology"/>
    <w:p>
      <w:pPr>
        <w:pStyle w:val="Bibliography"/>
      </w:pPr>
      <w:r>
        <w:t xml:space="preserve">Bertin, J. (1983). Semiology of graphics: Diagrams, networks, maps. University of Wisconsin press.</w:t>
      </w:r>
    </w:p>
    <w:bookmarkEnd w:id="242"/>
    <w:bookmarkStart w:id="243"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3"/>
    <w:bookmarkStart w:id="244"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4"/>
    <w:bookmarkStart w:id="245"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5"/>
    <w:bookmarkStart w:id="246"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6"/>
    <w:bookmarkStart w:id="247"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7"/>
    <w:bookmarkStart w:id="248"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8"/>
    <w:bookmarkStart w:id="249"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9"/>
    <w:bookmarkStart w:id="250"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50"/>
    <w:bookmarkStart w:id="251"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1"/>
    <w:bookmarkStart w:id="252"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52"/>
    <w:bookmarkStart w:id="253"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3"/>
    <w:bookmarkStart w:id="254"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4"/>
    <w:bookmarkStart w:id="255"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5"/>
    <w:bookmarkStart w:id="256"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6"/>
    <w:bookmarkStart w:id="257"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7"/>
    <w:bookmarkStart w:id="258"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8"/>
    <w:bookmarkStart w:id="259"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9"/>
    <w:bookmarkStart w:id="260"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0"/>
    <w:bookmarkStart w:id="261"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1"/>
    <w:bookmarkStart w:id="262"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2"/>
    <w:bookmarkStart w:id="263"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3"/>
    <w:bookmarkStart w:id="264"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4"/>
    <w:bookmarkStart w:id="265"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5"/>
    <w:bookmarkStart w:id="266"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6"/>
    <w:bookmarkStart w:id="267"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67"/>
    <w:bookmarkStart w:id="269" w:name="ref-eberhardt2020rendering"/>
    <w:p>
      <w:pPr>
        <w:pStyle w:val="Bibliography"/>
      </w:pPr>
      <w:r>
        <w:t xml:space="preserve">Eberhardt, C. (2020). Rendering one million datapoints with d3 and webgl.</w:t>
      </w:r>
      <w:r>
        <w:t xml:space="preserve"> </w:t>
      </w:r>
      <w:hyperlink r:id="rId268">
        <w:r>
          <w:rPr>
            <w:rStyle w:val="InternetLink"/>
          </w:rPr>
          <w:t xml:space="preserve">https://blog.scottlogic.com/2020/05/01/rendering-one-million-points-with-d3.html</w:t>
        </w:r>
      </w:hyperlink>
      <w:r>
        <w:t xml:space="preserve">.</w:t>
      </w:r>
    </w:p>
    <w:bookmarkEnd w:id="269"/>
    <w:bookmarkStart w:id="270"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70"/>
    <w:bookmarkStart w:id="271"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1"/>
    <w:bookmarkStart w:id="272"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2"/>
    <w:bookmarkStart w:id="273"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73"/>
    <w:bookmarkStart w:id="275" w:name="ref-escoffier2017how"/>
    <w:p>
      <w:pPr>
        <w:pStyle w:val="Bibliography"/>
      </w:pPr>
      <w:r>
        <w:t xml:space="preserve">Escoffier, E. (2017). How we used webgl and pixi.js for temporal mapping.</w:t>
      </w:r>
      <w:r>
        <w:t xml:space="preserve"> </w:t>
      </w:r>
      <w:hyperlink r:id="rId274">
        <w:r>
          <w:rPr>
            <w:rStyle w:val="InternetLink"/>
          </w:rPr>
          <w:t xml:space="preserve">https://medium.com/vizzuality-blog/saving-the-with-how-we-used-webgl-and-pixi-js-for-temporal-mapping-2cffaed60b91</w:t>
        </w:r>
      </w:hyperlink>
      <w:r>
        <w:t xml:space="preserve">.</w:t>
      </w:r>
    </w:p>
    <w:bookmarkEnd w:id="275"/>
    <w:bookmarkStart w:id="276"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6"/>
    <w:bookmarkStart w:id="277"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7"/>
    <w:bookmarkStart w:id="278"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8"/>
    <w:bookmarkStart w:id="279"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9"/>
    <w:bookmarkStart w:id="280"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80"/>
    <w:bookmarkStart w:id="281"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81"/>
    <w:bookmarkStart w:id="282" w:name="ref-galton2012states"/>
    <w:p>
      <w:pPr>
        <w:pStyle w:val="Bibliography"/>
      </w:pPr>
      <w:r>
        <w:t xml:space="preserve">Galton, A. (2012). States, processes and events, and the ontology of causal relations. IOS Press.</w:t>
      </w:r>
    </w:p>
    <w:bookmarkEnd w:id="282"/>
    <w:bookmarkStart w:id="283"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83"/>
    <w:bookmarkStart w:id="284"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4"/>
    <w:bookmarkStart w:id="285"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5"/>
    <w:bookmarkStart w:id="286"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6"/>
    <w:bookmarkStart w:id="287"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7"/>
    <w:bookmarkStart w:id="288"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8"/>
    <w:bookmarkStart w:id="289"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9"/>
    <w:bookmarkStart w:id="290"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90"/>
    <w:bookmarkStart w:id="291"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91"/>
    <w:bookmarkStart w:id="292"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92"/>
    <w:bookmarkStart w:id="293"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93"/>
    <w:bookmarkStart w:id="294"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94"/>
    <w:bookmarkStart w:id="295"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5"/>
    <w:bookmarkStart w:id="296"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6"/>
    <w:bookmarkStart w:id="297" w:name="ref-han2011data"/>
    <w:p>
      <w:pPr>
        <w:pStyle w:val="Bibliography"/>
      </w:pPr>
      <w:r>
        <w:t xml:space="preserve">Han, J., Pei, J., &amp; Kamber, M. (2011).</w:t>
      </w:r>
      <w:r>
        <w:t xml:space="preserve"> </w:t>
      </w:r>
      <w:r>
        <w:rPr>
          <w:i/>
        </w:rPr>
        <w:t xml:space="preserve">Data mining: Concepts and techniques</w:t>
      </w:r>
      <w:r>
        <w:t xml:space="preserve">. Elsevier.</w:t>
      </w:r>
    </w:p>
    <w:bookmarkEnd w:id="297"/>
    <w:bookmarkStart w:id="298"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8"/>
    <w:bookmarkStart w:id="299"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9"/>
    <w:bookmarkStart w:id="300"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300"/>
    <w:bookmarkStart w:id="301"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301"/>
    <w:bookmarkStart w:id="302"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02"/>
    <w:bookmarkStart w:id="303"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03"/>
    <w:bookmarkStart w:id="304"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04"/>
    <w:bookmarkStart w:id="305"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5"/>
    <w:bookmarkStart w:id="306"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6"/>
    <w:bookmarkStart w:id="307" w:name="ref-hyndman1995problem"/>
    <w:p>
      <w:pPr>
        <w:pStyle w:val="Bibliography"/>
      </w:pPr>
      <w:r>
        <w:t xml:space="preserve">Hyndman, R. J. (1995). The problem with sturges rule for constructing histograms. Citeseer.</w:t>
      </w:r>
    </w:p>
    <w:bookmarkEnd w:id="307"/>
    <w:bookmarkStart w:id="309" w:name="ref-idc2020global"/>
    <w:p>
      <w:pPr>
        <w:pStyle w:val="Bibliography"/>
      </w:pPr>
      <w:r>
        <w:t xml:space="preserve">IDC. (2020). IDC’s global datasphere forecast shows continued steady growth in the creation and consumption of data.</w:t>
      </w:r>
      <w:r>
        <w:t xml:space="preserve"> </w:t>
      </w:r>
      <w:hyperlink r:id="rId308">
        <w:r>
          <w:rPr>
            <w:rStyle w:val="InternetLink"/>
          </w:rPr>
          <w:t xml:space="preserve">https://www.idc.com/getdoc.jsp?containerId=prUS46286020</w:t>
        </w:r>
      </w:hyperlink>
      <w:r>
        <w:t xml:space="preserve">.</w:t>
      </w:r>
    </w:p>
    <w:bookmarkEnd w:id="309"/>
    <w:bookmarkStart w:id="310"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10"/>
    <w:bookmarkStart w:id="311"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11"/>
    <w:bookmarkStart w:id="312"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12"/>
    <w:bookmarkStart w:id="313"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13"/>
    <w:bookmarkStart w:id="314"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14"/>
    <w:bookmarkStart w:id="315"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5"/>
    <w:bookmarkStart w:id="316"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6"/>
    <w:bookmarkStart w:id="317" w:name="ref-kahneman2011thinking"/>
    <w:p>
      <w:pPr>
        <w:pStyle w:val="Bibliography"/>
      </w:pPr>
      <w:r>
        <w:t xml:space="preserve">Kahneman, D. (2011).</w:t>
      </w:r>
      <w:r>
        <w:t xml:space="preserve"> </w:t>
      </w:r>
      <w:r>
        <w:rPr>
          <w:i/>
        </w:rPr>
        <w:t xml:space="preserve">Thinking, fast and slow</w:t>
      </w:r>
      <w:r>
        <w:t xml:space="preserve">. Macmillan.</w:t>
      </w:r>
    </w:p>
    <w:bookmarkEnd w:id="317"/>
    <w:bookmarkStart w:id="318"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8"/>
    <w:bookmarkStart w:id="319"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9"/>
    <w:bookmarkStart w:id="320"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20"/>
    <w:bookmarkStart w:id="321"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21"/>
    <w:bookmarkStart w:id="322"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22"/>
    <w:bookmarkStart w:id="323"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23"/>
    <w:bookmarkStart w:id="324"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24"/>
    <w:bookmarkStart w:id="325"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5"/>
    <w:bookmarkStart w:id="326"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6"/>
    <w:bookmarkStart w:id="327"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7"/>
    <w:bookmarkStart w:id="328"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8"/>
    <w:bookmarkStart w:id="329"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9"/>
    <w:bookmarkStart w:id="331" w:name="ref-leaver2020leaflet"/>
    <w:p>
      <w:pPr>
        <w:pStyle w:val="Bibliography"/>
      </w:pPr>
      <w:r>
        <w:t xml:space="preserve">Leaver, D. (2020). Leaflet.MarkerCluster.</w:t>
      </w:r>
      <w:r>
        <w:t xml:space="preserve"> </w:t>
      </w:r>
      <w:hyperlink r:id="rId330">
        <w:r>
          <w:rPr>
            <w:rStyle w:val="InternetLink"/>
          </w:rPr>
          <w:t xml:space="preserve">https://github.com/adammertel/Leaflet.MarkerCluster.PlacementStrategies</w:t>
        </w:r>
      </w:hyperlink>
      <w:r>
        <w:t xml:space="preserve">.</w:t>
      </w:r>
    </w:p>
    <w:bookmarkEnd w:id="331"/>
    <w:bookmarkStart w:id="332"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32"/>
    <w:bookmarkStart w:id="333"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33"/>
    <w:bookmarkStart w:id="334"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34"/>
    <w:bookmarkStart w:id="335"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35"/>
    <w:bookmarkStart w:id="336" w:name="ref-lima2011visual"/>
    <w:p>
      <w:pPr>
        <w:pStyle w:val="Bibliography"/>
      </w:pPr>
      <w:r>
        <w:t xml:space="preserve">Lima, M. (2011). Visual complexity. Mapping patterns of information. Princeton: Princeton Architectural Press.</w:t>
      </w:r>
    </w:p>
    <w:bookmarkEnd w:id="336"/>
    <w:bookmarkStart w:id="337"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7"/>
    <w:bookmarkStart w:id="339" w:name="ref-lumley2015multi"/>
    <w:p>
      <w:pPr>
        <w:pStyle w:val="Bibliography"/>
      </w:pPr>
      <w:r>
        <w:t xml:space="preserve">Lumley, T. (2015). Multi-class hexbins.</w:t>
      </w:r>
      <w:r>
        <w:t xml:space="preserve"> </w:t>
      </w:r>
      <w:hyperlink r:id="rId338">
        <w:r>
          <w:rPr>
            <w:rStyle w:val="InternetLink"/>
          </w:rPr>
          <w:t xml:space="preserve">https://cran.r-project.org/web/packages/hextri/vignettes/hexbin-classes.html</w:t>
        </w:r>
      </w:hyperlink>
      <w:r>
        <w:t xml:space="preserve">.</w:t>
      </w:r>
    </w:p>
    <w:bookmarkEnd w:id="339"/>
    <w:bookmarkStart w:id="340"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40"/>
    <w:bookmarkStart w:id="341"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41"/>
    <w:bookmarkStart w:id="342"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42"/>
    <w:bookmarkStart w:id="344" w:name="ref-mapbox2019vector"/>
    <w:p>
      <w:pPr>
        <w:pStyle w:val="Bibliography"/>
      </w:pPr>
      <w:r>
        <w:t xml:space="preserve">Mapbox. (2019). Vector tile specification v2.1.</w:t>
      </w:r>
      <w:r>
        <w:t xml:space="preserve"> </w:t>
      </w:r>
      <w:hyperlink r:id="rId343">
        <w:r>
          <w:rPr>
            <w:rStyle w:val="InternetLink"/>
          </w:rPr>
          <w:t xml:space="preserve">https://github.com/mapbox/vector-tile-spec/tree/master/2.1</w:t>
        </w:r>
      </w:hyperlink>
      <w:r>
        <w:t xml:space="preserve">.</w:t>
      </w:r>
    </w:p>
    <w:bookmarkEnd w:id="344"/>
    <w:bookmarkStart w:id="346" w:name="ref-mapbox2020vector"/>
    <w:p>
      <w:pPr>
        <w:pStyle w:val="Bibliography"/>
      </w:pPr>
      <w:r>
        <w:t xml:space="preserve">Mapbox. (2020). Vector tiles specification.</w:t>
      </w:r>
      <w:r>
        <w:t xml:space="preserve"> </w:t>
      </w:r>
      <w:hyperlink r:id="rId345">
        <w:r>
          <w:rPr>
            <w:rStyle w:val="InternetLink"/>
          </w:rPr>
          <w:t xml:space="preserve">https://docs.mapbox.com/vector-tiles/specification/</w:t>
        </w:r>
      </w:hyperlink>
      <w:r>
        <w:t xml:space="preserve">.</w:t>
      </w:r>
    </w:p>
    <w:bookmarkEnd w:id="346"/>
    <w:bookmarkStart w:id="347"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7"/>
    <w:bookmarkStart w:id="348"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8"/>
    <w:bookmarkStart w:id="349"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9"/>
    <w:bookmarkStart w:id="350"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50"/>
    <w:bookmarkStart w:id="351"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51"/>
    <w:bookmarkStart w:id="352" w:name="ref-mcmaster1992generalization"/>
    <w:p>
      <w:pPr>
        <w:pStyle w:val="Bibliography"/>
      </w:pPr>
      <w:r>
        <w:t xml:space="preserve">McMaster, R. B., &amp; Shea, K. S. (1992). Generalization in digital cartography. In. Association of American Geographers Washington, DC.</w:t>
      </w:r>
    </w:p>
    <w:bookmarkEnd w:id="352"/>
    <w:bookmarkStart w:id="353"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53"/>
    <w:bookmarkStart w:id="354"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54"/>
    <w:bookmarkStart w:id="355" w:name="ref-mertel2020leaflet"/>
    <w:p>
      <w:pPr>
        <w:pStyle w:val="Bibliography"/>
      </w:pPr>
      <w:r>
        <w:t xml:space="preserve">Mertel, A. (2020). Leaflet.MarkerCluster.PlacementStrategies.</w:t>
      </w:r>
      <w:r>
        <w:t xml:space="preserve"> </w:t>
      </w:r>
      <w:hyperlink r:id="rId330">
        <w:r>
          <w:rPr>
            <w:rStyle w:val="InternetLink"/>
          </w:rPr>
          <w:t xml:space="preserve">https://github.com/adammertel/Leaflet.MarkerCluster.PlacementStrategies</w:t>
        </w:r>
      </w:hyperlink>
      <w:r>
        <w:t xml:space="preserve">.</w:t>
      </w:r>
    </w:p>
    <w:bookmarkEnd w:id="355"/>
    <w:bookmarkStart w:id="357" w:name="ref-mertel2021regular"/>
    <w:p>
      <w:pPr>
        <w:pStyle w:val="Bibliography"/>
      </w:pPr>
      <w:r>
        <w:t xml:space="preserve">Mertel, A. (2021). Regular-grid-cluster plugin/library for leaflet.</w:t>
      </w:r>
      <w:r>
        <w:t xml:space="preserve"> </w:t>
      </w:r>
      <w:hyperlink r:id="rId356">
        <w:r>
          <w:rPr>
            <w:rStyle w:val="InternetLink"/>
          </w:rPr>
          <w:t xml:space="preserve">https://github.com/adammertel/Leaflet.RegularGridCluster</w:t>
        </w:r>
      </w:hyperlink>
      <w:r>
        <w:t xml:space="preserve">.</w:t>
      </w:r>
    </w:p>
    <w:bookmarkEnd w:id="357"/>
    <w:bookmarkStart w:id="358"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8"/>
    <w:bookmarkStart w:id="359"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9"/>
    <w:bookmarkStart w:id="360"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60"/>
    <w:bookmarkStart w:id="361"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61"/>
    <w:bookmarkStart w:id="362"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62"/>
    <w:bookmarkStart w:id="363"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63"/>
    <w:bookmarkStart w:id="364"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64"/>
    <w:bookmarkStart w:id="365"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65"/>
    <w:bookmarkStart w:id="366" w:name="ref-norman2016living"/>
    <w:p>
      <w:pPr>
        <w:pStyle w:val="Bibliography"/>
      </w:pPr>
      <w:r>
        <w:t xml:space="preserve">Norman, D. A. (2016).</w:t>
      </w:r>
      <w:r>
        <w:t xml:space="preserve"> </w:t>
      </w:r>
      <w:r>
        <w:rPr>
          <w:i/>
        </w:rPr>
        <w:t xml:space="preserve">Living with complexity</w:t>
      </w:r>
      <w:r>
        <w:t xml:space="preserve">. MIT press.</w:t>
      </w:r>
    </w:p>
    <w:bookmarkEnd w:id="366"/>
    <w:bookmarkStart w:id="367"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7"/>
    <w:bookmarkStart w:id="368"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8"/>
    <w:bookmarkStart w:id="369"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9"/>
    <w:bookmarkStart w:id="371" w:name="ref-oconnor2017gpu"/>
    <w:p>
      <w:pPr>
        <w:pStyle w:val="Bibliography"/>
      </w:pPr>
      <w:r>
        <w:t xml:space="preserve">O’Conor, K. (2017). GPU performance for game artists.</w:t>
      </w:r>
      <w:r>
        <w:t xml:space="preserve"> </w:t>
      </w:r>
      <w:hyperlink r:id="rId370">
        <w:r>
          <w:rPr>
            <w:rStyle w:val="InternetLink"/>
          </w:rPr>
          <w:t xml:space="preserve">http://fragmentbuffer.com/gpu-performance-for-game-artists/</w:t>
        </w:r>
      </w:hyperlink>
      <w:r>
        <w:t xml:space="preserve">.</w:t>
      </w:r>
    </w:p>
    <w:bookmarkEnd w:id="371"/>
    <w:bookmarkStart w:id="372"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72"/>
    <w:bookmarkStart w:id="373"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73"/>
    <w:bookmarkStart w:id="374"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74"/>
    <w:bookmarkStart w:id="375" w:name="ref-parisi2012webgl"/>
    <w:p>
      <w:pPr>
        <w:pStyle w:val="Bibliography"/>
      </w:pPr>
      <w:r>
        <w:t xml:space="preserve">Parisi, T. (2012).</w:t>
      </w:r>
      <w:r>
        <w:t xml:space="preserve"> </w:t>
      </w:r>
      <w:r>
        <w:rPr>
          <w:i/>
        </w:rPr>
        <w:t xml:space="preserve">WebGL: Up and running</w:t>
      </w:r>
      <w:r>
        <w:t xml:space="preserve">. " O’Reilly Media, Inc.".</w:t>
      </w:r>
    </w:p>
    <w:bookmarkEnd w:id="375"/>
    <w:bookmarkStart w:id="377" w:name="ref-patel2020hexagonal"/>
    <w:p>
      <w:pPr>
        <w:pStyle w:val="Bibliography"/>
      </w:pPr>
      <w:r>
        <w:t xml:space="preserve">Patel, A. (2020). Hexagonal grids.</w:t>
      </w:r>
      <w:r>
        <w:t xml:space="preserve"> </w:t>
      </w:r>
      <w:hyperlink r:id="rId376">
        <w:r>
          <w:rPr>
            <w:rStyle w:val="InternetLink"/>
          </w:rPr>
          <w:t xml:space="preserve">https://www.redblobgames.com/grids/hexagons/</w:t>
        </w:r>
      </w:hyperlink>
      <w:r>
        <w:t xml:space="preserve">.</w:t>
      </w:r>
    </w:p>
    <w:bookmarkEnd w:id="377"/>
    <w:bookmarkStart w:id="378"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8"/>
    <w:bookmarkStart w:id="379"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9"/>
    <w:bookmarkStart w:id="380"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80"/>
    <w:bookmarkStart w:id="381"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81"/>
    <w:bookmarkStart w:id="383" w:name="ref-region2020aware"/>
    <w:p>
      <w:pPr>
        <w:pStyle w:val="Bibliography"/>
      </w:pPr>
      <w:r>
        <w:t xml:space="preserve">RegionBound. (2020). Region-aware clustering.</w:t>
      </w:r>
      <w:r>
        <w:t xml:space="preserve"> </w:t>
      </w:r>
      <w:hyperlink r:id="rId382">
        <w:r>
          <w:rPr>
            <w:rStyle w:val="InternetLink"/>
          </w:rPr>
          <w:t xml:space="preserve">https://regionbound.com/region-aware-marker-clustering-for-maps</w:t>
        </w:r>
      </w:hyperlink>
      <w:r>
        <w:t xml:space="preserve">.</w:t>
      </w:r>
    </w:p>
    <w:bookmarkEnd w:id="383"/>
    <w:bookmarkStart w:id="384"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84"/>
    <w:bookmarkStart w:id="385"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85"/>
    <w:bookmarkStart w:id="386"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86"/>
    <w:bookmarkStart w:id="387"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7"/>
    <w:bookmarkStart w:id="388"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8"/>
    <w:bookmarkStart w:id="389"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9"/>
    <w:bookmarkStart w:id="390"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90"/>
    <w:bookmarkStart w:id="391"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91"/>
    <w:bookmarkStart w:id="392"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92"/>
    <w:bookmarkStart w:id="393"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93"/>
    <w:bookmarkStart w:id="394"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94"/>
    <w:bookmarkStart w:id="395"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95"/>
    <w:bookmarkStart w:id="397" w:name="ref-slaughter2017designing"/>
    <w:p>
      <w:pPr>
        <w:pStyle w:val="Bibliography"/>
      </w:pPr>
      <w:r>
        <w:t xml:space="preserve">Slaughter, N. (2017). Designing maps for mobile devices.</w:t>
      </w:r>
      <w:r>
        <w:t xml:space="preserve"> </w:t>
      </w:r>
      <w:hyperlink r:id="rId396">
        <w:r>
          <w:rPr>
            <w:rStyle w:val="InternetLink"/>
          </w:rPr>
          <w:t xml:space="preserve">https://blog.mapbox.com/designing-maps-for-mobile-devices-32d2e49d2096</w:t>
        </w:r>
      </w:hyperlink>
      <w:r>
        <w:t xml:space="preserve">.</w:t>
      </w:r>
    </w:p>
    <w:bookmarkEnd w:id="397"/>
    <w:bookmarkStart w:id="398"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8"/>
    <w:bookmarkStart w:id="399"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9"/>
    <w:bookmarkStart w:id="400" w:name="ref-stevens1946theory"/>
    <w:p>
      <w:pPr>
        <w:pStyle w:val="Bibliography"/>
      </w:pPr>
      <w:r>
        <w:t xml:space="preserve">Stevens, S. S. (1946). On the theory of scales of measurement.</w:t>
      </w:r>
      <w:r>
        <w:t xml:space="preserve"> </w:t>
      </w:r>
      <w:r>
        <w:rPr>
          <w:i/>
        </w:rPr>
        <w:t xml:space="preserve">Science</w:t>
      </w:r>
      <w:r>
        <w:t xml:space="preserve">. year.</w:t>
      </w:r>
    </w:p>
    <w:bookmarkEnd w:id="400"/>
    <w:bookmarkStart w:id="401"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401"/>
    <w:bookmarkStart w:id="402"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402"/>
    <w:bookmarkStart w:id="403"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403"/>
    <w:bookmarkStart w:id="404"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404"/>
    <w:bookmarkStart w:id="405"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05"/>
    <w:bookmarkStart w:id="406"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06"/>
    <w:bookmarkStart w:id="407"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7"/>
    <w:bookmarkStart w:id="408"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8"/>
    <w:bookmarkStart w:id="409"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9"/>
    <w:bookmarkStart w:id="410"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10"/>
    <w:bookmarkStart w:id="412" w:name="ref-thompson2019one"/>
    <w:p>
      <w:pPr>
        <w:pStyle w:val="Bibliography"/>
      </w:pPr>
      <w:r>
        <w:t xml:space="preserve">Thompson, S. A., &amp; Warzel, C. (2019). One nation, tracked.</w:t>
      </w:r>
      <w:r>
        <w:t xml:space="preserve"> </w:t>
      </w:r>
      <w:hyperlink r:id="rId411">
        <w:r>
          <w:rPr>
            <w:rStyle w:val="InternetLink"/>
          </w:rPr>
          <w:t xml:space="preserve">https://www.nytimes.com/interactive/2019/12/19/opinion/location-tracking-cell-phone.html</w:t>
        </w:r>
      </w:hyperlink>
      <w:r>
        <w:t xml:space="preserve">.</w:t>
      </w:r>
    </w:p>
    <w:bookmarkEnd w:id="412"/>
    <w:bookmarkStart w:id="413"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13"/>
    <w:bookmarkStart w:id="414"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14"/>
    <w:bookmarkStart w:id="415"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15"/>
    <w:bookmarkStart w:id="416"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16"/>
    <w:bookmarkStart w:id="417"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7"/>
    <w:bookmarkStart w:id="419" w:name="ref-urban2013putting"/>
    <w:p>
      <w:pPr>
        <w:pStyle w:val="Bibliography"/>
      </w:pPr>
      <w:r>
        <w:t xml:space="preserve">Urban, T. (2013). Putting time in perspective.</w:t>
      </w:r>
      <w:r>
        <w:t xml:space="preserve"> </w:t>
      </w:r>
      <w:hyperlink r:id="rId418">
        <w:r>
          <w:rPr>
            <w:rStyle w:val="InternetLink"/>
          </w:rPr>
          <w:t xml:space="preserve">https://waitbutwhy.com/2013/08/putting-time-in-perspective.html</w:t>
        </w:r>
      </w:hyperlink>
      <w:r>
        <w:t xml:space="preserve">.</w:t>
      </w:r>
    </w:p>
    <w:bookmarkEnd w:id="419"/>
    <w:bookmarkStart w:id="420"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20"/>
    <w:bookmarkStart w:id="421"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21"/>
    <w:bookmarkStart w:id="422"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22"/>
    <w:bookmarkStart w:id="423"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23"/>
    <w:bookmarkStart w:id="424"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24"/>
    <w:bookmarkStart w:id="425"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25"/>
    <w:bookmarkStart w:id="426"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26"/>
    <w:bookmarkStart w:id="427"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7"/>
    <w:bookmarkStart w:id="429" w:name="ref-weckmuller2019hyper"/>
    <w:p>
      <w:pPr>
        <w:pStyle w:val="Bibliography"/>
      </w:pPr>
      <w:r>
        <w:t xml:space="preserve">Weckmüller, D. (2019). Using hyperloglog with leaflet-hexbins.</w:t>
      </w:r>
      <w:r>
        <w:t xml:space="preserve"> </w:t>
      </w:r>
      <w:hyperlink r:id="rId428">
        <w:r>
          <w:rPr>
            <w:rStyle w:val="InternetLink"/>
          </w:rPr>
          <w:t xml:space="preserve">https://geo.rocks/post/hexbins-js-hll/</w:t>
        </w:r>
      </w:hyperlink>
      <w:r>
        <w:t xml:space="preserve">.</w:t>
      </w:r>
    </w:p>
    <w:bookmarkEnd w:id="429"/>
    <w:bookmarkStart w:id="430"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30"/>
    <w:bookmarkStart w:id="431"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31"/>
    <w:bookmarkStart w:id="432" w:name="ref-willenskomer2017creating"/>
    <w:p>
      <w:pPr>
        <w:pStyle w:val="Bibliography"/>
      </w:pPr>
      <w:r>
        <w:t xml:space="preserve">Willenskomer, I. (2017). Creating usability with motion: The ux in motion manifesto. Retrieved.</w:t>
      </w:r>
    </w:p>
    <w:bookmarkEnd w:id="432"/>
    <w:bookmarkStart w:id="433"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33"/>
    <w:bookmarkStart w:id="434" w:name="ref-woodruff2015blindfolded"/>
    <w:p>
      <w:pPr>
        <w:pStyle w:val="Bibliography"/>
      </w:pPr>
      <w:r>
        <w:t xml:space="preserve">Woodruff, A. (2015). Blindfolded cartography.</w:t>
      </w:r>
    </w:p>
    <w:bookmarkEnd w:id="434"/>
    <w:bookmarkStart w:id="435" w:name="ref-worboys2004gis"/>
    <w:p>
      <w:pPr>
        <w:pStyle w:val="Bibliography"/>
      </w:pPr>
      <w:r>
        <w:t xml:space="preserve">Worboys, M. F., &amp; Duckham, M. (2004).</w:t>
      </w:r>
      <w:r>
        <w:t xml:space="preserve"> </w:t>
      </w:r>
      <w:r>
        <w:rPr>
          <w:i/>
        </w:rPr>
        <w:t xml:space="preserve">GIS: A computing perspective</w:t>
      </w:r>
      <w:r>
        <w:t xml:space="preserve">. CRC press.</w:t>
      </w:r>
    </w:p>
    <w:bookmarkEnd w:id="435"/>
    <w:bookmarkStart w:id="436"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36"/>
    <w:bookmarkStart w:id="437"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7"/>
    <w:bookmarkEnd w:id="438"/>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1">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2">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3">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4">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5">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6">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7">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8">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0">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1">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2">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3">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4">
        <w:r>
          <w:rPr>
            <w:rStyle w:val="InternetLink"/>
          </w:rPr>
          <w:t xml:space="preserve">https://europa.eu/youreurope/citizens/consumers/internet-telecoms/data-protection-online-privacy/index_en.htm</w:t>
        </w:r>
      </w:hyperlink>
      <w:r>
        <w:t xml:space="preserve">.</w:t>
      </w:r>
    </w:p>
  </w:footnote>
  <w:footnote w:id="55">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8">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visualization of perspectives changing with time frame</w:t>
      </w:r>
    </w:p>
  </w:footnote>
  <w:footnote w:id="59">
    <w:p>
      <w:pPr>
        <w:pStyle w:val="Footnote"/>
      </w:pPr>
      <w:r>
        <w:rPr>
          <w:rStyle w:val="FootnoteReference"/>
        </w:rPr>
        <w:footnoteRef/>
      </w:r>
      <w:r>
        <w:t xml:space="preserve"> </w:t>
      </w:r>
      <w:r>
        <w:t xml:space="preserve">There are notable global-scale exceptions like</w:t>
      </w:r>
      <w:r>
        <w:t xml:space="preserve"> </w:t>
      </w:r>
      <w:hyperlink r:id="rId60">
        <w:r>
          <w:rPr>
            <w:rStyle w:val="InternetLink"/>
          </w:rPr>
          <w:t xml:space="preserve">https://globalfishingwatch.org/map/</w:t>
        </w:r>
      </w:hyperlink>
      <w:r>
        <w:t xml:space="preserve"> </w:t>
      </w:r>
      <w:r>
        <w:t xml:space="preserve">or</w:t>
      </w:r>
      <w:r>
        <w:t xml:space="preserve"> </w:t>
      </w:r>
      <w:hyperlink r:id="rId61">
        <w:r>
          <w:rPr>
            <w:rStyle w:val="InternetLink"/>
          </w:rPr>
          <w:t xml:space="preserve">https://www.shipmap.org/</w:t>
        </w:r>
      </w:hyperlink>
    </w:p>
  </w:footnote>
  <w:footnote w:id="75">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8">
    <w:p>
      <w:pPr>
        <w:pStyle w:val="Footnote"/>
      </w:pPr>
      <w:r>
        <w:rPr>
          <w:rStyle w:val="FootnoteReference"/>
        </w:rPr>
        <w:footnoteRef/>
      </w:r>
      <w:r>
        <w:t xml:space="preserve"> </w:t>
      </w:r>
      <w:r>
        <w:t xml:space="preserve">International Cartographic Association</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 w:id="204">
    <w:p>
      <w:pPr>
        <w:pStyle w:val="Footnote"/>
      </w:pPr>
      <w:r>
        <w:rPr>
          <w:rStyle w:val="FootnoteReference"/>
        </w:rPr>
        <w:footnoteRef/>
      </w:r>
      <w:r>
        <w:t xml:space="preserve"> </w:t>
      </w:r>
      <w:hyperlink r:id="rId205">
        <w:r>
          <w:rPr>
            <w:rStyle w:val="InternetLink"/>
          </w:rPr>
          <w:t xml:space="preserve">https://sharedstreets.io</w:t>
        </w:r>
      </w:hyperlink>
    </w:p>
  </w:footnote>
  <w:footnote w:id="206">
    <w:p>
      <w:pPr>
        <w:pStyle w:val="Footnote"/>
      </w:pPr>
      <w:r>
        <w:rPr>
          <w:rStyle w:val="FootnoteReference"/>
        </w:rPr>
        <w:footnoteRef/>
      </w:r>
      <w:r>
        <w:t xml:space="preserve"> </w:t>
      </w:r>
      <w:hyperlink r:id="rId207">
        <w:r>
          <w:rPr>
            <w:rStyle w:val="InternetLink"/>
          </w:rPr>
          <w:t xml:space="preserve">https://www.remix.com/</w:t>
        </w:r>
      </w:hyperlink>
    </w:p>
  </w:footnote>
  <w:footnote w:id="208">
    <w:p>
      <w:pPr>
        <w:pStyle w:val="Footnote"/>
      </w:pPr>
      <w:r>
        <w:rPr>
          <w:rStyle w:val="FootnoteReference"/>
        </w:rPr>
        <w:footnoteRef/>
      </w:r>
      <w:r>
        <w:t xml:space="preserve"> </w:t>
      </w:r>
      <w:hyperlink r:id="rId209">
        <w:r>
          <w:rPr>
            <w:rStyle w:val="InternetLink"/>
          </w:rPr>
          <w:t xml:space="preserve">https://morphocode.com/</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220" Target="media/rId220.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2" Target="media/rId62.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4" Target="media/rId64.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3" Target="media/rId73.png" /><Relationship Type="http://schemas.openxmlformats.org/officeDocument/2006/relationships/image" Id="rId166" Target="media/rId166.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0" Target="media/rId70.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6" Target="media/rId66.png" /><Relationship Type="http://schemas.openxmlformats.org/officeDocument/2006/relationships/image" Id="rId81" Target="media/rId8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hyperlink" Id="rId376"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70"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396"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268" Target="https://blog.scottlogic.com/2020/05/01/rendering-one-million-points-with-d3.html" TargetMode="External" /><Relationship Type="http://schemas.openxmlformats.org/officeDocument/2006/relationships/hyperlink" Id="rId338"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5"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8" Target="https://geo.rocks/post/hexbins-js-hll/" TargetMode="External" /><Relationship Type="http://schemas.openxmlformats.org/officeDocument/2006/relationships/hyperlink" Id="rId330" Target="https://github.com/adammertel/Leaflet.MarkerCluster.PlacementStrategies" TargetMode="External" /><Relationship Type="http://schemas.openxmlformats.org/officeDocument/2006/relationships/hyperlink" Id="rId356"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43"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74"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82"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205" Target="https://sharedstreets.io"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8" Target="https://waitbutwhy.com/2013/08/putting-time-in-perspective.html" TargetMode="External" /><Relationship Type="http://schemas.openxmlformats.org/officeDocument/2006/relationships/hyperlink" Id="rId308" Target="https://www.idc.com/getdoc.jsp?containerId=prUS46286020" TargetMode="External" /><Relationship Type="http://schemas.openxmlformats.org/officeDocument/2006/relationships/hyperlink" Id="rId411"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207" Target="https://www.remix.com/" TargetMode="External" /><Relationship Type="http://schemas.openxmlformats.org/officeDocument/2006/relationships/hyperlink" Id="rId61" Target="https://www.shipmap.org/" TargetMode="External" /><Relationship Type="http://schemas.openxmlformats.org/officeDocument/2006/relationships/hyperlink" Id="rId224"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76"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70"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396"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268" Target="https://blog.scottlogic.com/2020/05/01/rendering-one-million-points-with-d3.html" TargetMode="External" /><Relationship Type="http://schemas.openxmlformats.org/officeDocument/2006/relationships/hyperlink" Id="rId338"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5"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8" Target="https://geo.rocks/post/hexbins-js-hll/" TargetMode="External" /><Relationship Type="http://schemas.openxmlformats.org/officeDocument/2006/relationships/hyperlink" Id="rId330" Target="https://github.com/adammertel/Leaflet.MarkerCluster.PlacementStrategies" TargetMode="External" /><Relationship Type="http://schemas.openxmlformats.org/officeDocument/2006/relationships/hyperlink" Id="rId356"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43"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74"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82"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205" Target="https://sharedstreets.io"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8" Target="https://waitbutwhy.com/2013/08/putting-time-in-perspective.html" TargetMode="External" /><Relationship Type="http://schemas.openxmlformats.org/officeDocument/2006/relationships/hyperlink" Id="rId308" Target="https://www.idc.com/getdoc.jsp?containerId=prUS46286020" TargetMode="External" /><Relationship Type="http://schemas.openxmlformats.org/officeDocument/2006/relationships/hyperlink" Id="rId411"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207" Target="https://www.remix.com/" TargetMode="External" /><Relationship Type="http://schemas.openxmlformats.org/officeDocument/2006/relationships/hyperlink" Id="rId61" Target="https://www.shipmap.org/" TargetMode="External" /><Relationship Type="http://schemas.openxmlformats.org/officeDocument/2006/relationships/hyperlink" Id="rId224"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2021-08-23T10:29:34Z</dcterms:created>
  <dcterms:modified xsi:type="dcterms:W3CDTF">2021-08-23T10:29:34Z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